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222388-П/2016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Бергштейма Владимира Дмитриевича на нарушение его конституционных прав частью 6 статьи 54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В.Д.Бергштейма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6 статьи 54 Градостроительного кодекса Российской Федерации устанавливает требования к документам, оформляемым органами государственного строительного надзора по результатам проведенной проверки, а также содержит отсылочную норму, в соответствии с которой приостановление строительства, реконструкции объекта капитального строительства на срок устранения выявленных нарушений осуществляется в порядке, установленном законодательством Российской Федерации. Вопросы же подведомственности и подсудности дел арбитражному суду регулируются статьями 27–39 АПК Российской Федерации и заявителем не обжалуются. Таким образом, оспариваемое законоположение само по себе не нарушает конституционные права заявителя в указанном им аспекте. Проверка же законности и обоснованности судебных актов, в том числе в части вопросов подведомственности, установление и исследование фактических обстоятельств конкретного дела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Бергштейма Владимира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