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215863-П/2015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ноября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Шаталова Алексея Юрьевича на нарушение его конституционных прав статьей 108 Уголовного кодекса Российской Федерации, частью второй статьи 61 и статьей 297 Уголовно-процессуального кодекса Российской Федерации, статьей 3 Федерального конституционного закона «О судебной системе Российской Федерации» и Законом Российской Федерации «О статусе судей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по требованию гражданина А.Ю.Шаталова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Как следует из жалоб, А.Ю.Шаталов вопреки требованию пункта 8 части второй статьи 37 Федерального конституционного закона «О Конституционном Суде Российской Федерации» не приводит правового обоснования неконституционности оспариваемых им норм, лишь утверждая, что его действия следовало квалифицировать по статье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УК Российской Федерации в соответствии с постановлением Пленума Верховного Суда Российской Федерации от 27 сентября 2012 года № 19 «О применении судами законодательства о необходимой обороне и причинении вреда при задержании лица, совершившего преступление» и что вынесенный в отношении него приговор был постановлен незаконным составом суда в нарушение положений части второй статьи 61 и статьи 297 УПК Российской Федерации, статьи 3 Федерального конституционного закона «О судебной системе Российской Федерации» и Закона Российской Федерации «О статусе судей в Российской Федерации». При этом заявитель, указывая, что в его деле были нарушены и иные предписания законодательства Российской Федерации, прямо просит признать постановленный в отношении него приговор подлежащим отмене, 3 исследовать решения вышестоящих судов, которые проигнорировали неприменение в отношении него названного постановления Пленума Верховного Суда Российской Федерации, признать нарушение его прав следственными органами. Тем самым, по сути, заявитель предлагает Конституционному Суду Российской Федерации оценить законность и обоснованность решений и действий правоприменителей в его конкретном деле. Однако разрешение этих вопросов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Таким образом, данные жалобы, как не отвечающие критерию допустимости, закрепленному Федеральным конституционным законом «О Конституционном Суде Российской Федерации», не могут быть приняты Конституционным Судом Российской Федерации к рассмотрению.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Шаталова Алексея Юрьевича,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 4</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