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233362-П/2016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Гороховой Анны Валериевны на нарушение ее конституционных прав пунктом 1 статьи 17 Федерального закона «О государственной регистрации прав на недвижимое имущество и сделок с ним», статьями 3 и 13 Гражданского процессуального кодекса Российской Федерации и информационным письмом Президиума Высшего Арбитражного Суда Российской Федерации «О некоторых вопросах применения арбитражными судами статей 20 и 28 Федерального закона «О государственной регистрации прав на недвижимое имущество и сделок с ним»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А.В.Гороховой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было отменено решение суда общей юрисдикции и отказано в удовлетворении иска гражданки А.В.Гороховой к Управлению Федеральной службы государственной 2 регистрации, кадастра и картографии по Белгородской области и Борисовскому межрайонному отделу указанного Управления о признании незаконными действий по регистрации права собственности на объекты недвижимого имущества, признании отсутствующими записи о государственной регистрации права собственности на недвижимое имущество, записи о регистрации запрета на проведение регистрационных действий, действий по исключению из Единого государственного реестра прав на недвижимое имущество объектов недвижимости, погашении записей о регистрации права собственности на недвижимое имущество и записей о регистрации запрета на проведение регистрационных действий, действий по исключению из указанного реестра объектов недвижимости. При этом суд апелляционной инстанции исходил, в частности, из того, что вступившим в законную силу судебным постановлением сделка, на основании которой за А.В.Гороховой было зарегистрировано право собственности на спорное имущество, признана недействительной и в порядке применения последствий недействительности сделки имущество возвращено в собственность гражданина Д.; при данных обстоятельствах действия Управления Федеральной службы государственной регистрации, кадастра и картографии по Белгородской области по регистрации за гражданином Д. права собственности на имущество, являвшееся предметом купли-продажи по договору, признанному судом недействительным, соответствуют требованиям Федерального закона от 21 июля 1997 года № 122-ФЗ «О государственной регистрации прав на недвижимое имущество и сделок с ним», в частности его статье 17, предусматривающей в числе оснований для государственной регистрации наличия, возникновения, прекращения, перехода, ограничения (обременения) прав на недвижимое имущество и сделок с ним вступившие в законную силу судебные акты.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Гороховой Анны Валериевны,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