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210490-П/2015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Духа Сергея Викторовича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С.В.Духа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Использование в части первой статьи 4129 УПК Российской Федерации такой оценочной характеристики существенных нарушений закона, как «повлиявшие на исход дела», наполняющейся содержанием в зависимости от фактических обстоятельств конкретного дела, ограничивает круг оснований для отмены или изменения судебного решения в надзорном порядке лишь такими нарушениями, которые повлияли на правильность разрешения дела по существу, в частности на вывод о виновности, на юридическую оценку содеянного, назначение судом наказания или применение иных мер уголовно-правового характера и на решение по гражданскому иску, не содержит неопределенности, исключающей правильное и единообразное применение закона, не нарушает право на судебную защиту и отвечает роли, месту и полномочиям суда как независимого органа правосудия (Определение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Духа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