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33928-П/2002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Козина Виктора Юрьевича на нарушение его конституционных прав положениями статей 2395, 334 и 337 Гражданского процессуального кодекса РСФСР и статьи 5 Закона Российской Федерации "Об обжаловании в суд действий и решений, нарушающих права и свободы граждан"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В.Ю.Козина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Оспаривая конституционность статьи 2395 ГПК РСФСР и статьи 5 Закона Российской Федерации "Об обжаловании в суд действий и решений, нарушающих права и свободы граждан", заявитель фактически ставит перед Конституционным Судом Российской Федерации вопрос об изменении законодательно установленных сроков для обращения в суд с жалобами и заявлениями о пересмотре дел по вновь открывшимся обстоятельствам. Данный вопрос уже был предметом изучения Конституционного Суда Российской Федерации. В определении от 14 декабря 1999 года по жалобам ряда граждан и общественных организаций на нарушение конституционных прав и свобод статьями 116, 2395 ГПК РСФСР и статьей 5 Закона Российской Федерации "Об обжаловании в суд действий и решений, нарушающих права и свободы граждан",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Разрешая вопрос о принятии обращения к рассмотрению,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 могут быть приняты во внимание и приведенные в жалобе доводы о том, что применением части второй статьи 337 ГПК РСФСР ставится в неравное положение прокурор как должностное лицо, выступающее в процессе в интересах государства, и гражданин, являющийся стороной по делу, а также о том, что данная норма препятствует реализации права на рассмотрение дела независимым и беспристрастным судом, как это предусмотрено статьей 10 Всеобщей декларации прав человека. Фактически В.Ю.Козин ставит вопрос о проверке законности и обоснованности определения Нижневартовского городского суда от 4 июля 2000 года. Однако проверка приведенных заявителем доводов о личной заинтересованности судьи, участвовавшего в рассмотрении заявления прокурора о пересмотре дела по вновь открывшимся обстоятельствам, может быть осуществлена только в порядке, предусмотренном гражданским процессуальным законодательством, после завершения рассмотрения дела по существу и вынесения нового решения. Разрешение подобных вопросов Конституционному Суду Российской Федерации неподведомственно.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Козина Виктора Юрьевича,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