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226423-П/2016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февраля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Молодых Ирины Константиновны на нарушение ее конституционных прав пунктами 1 и 2 статьи 5, статьями 2016 и 2017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гражданки И.К.Молодых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арбитражного апелляционного суда, оставленным без изменения постановлением арбитражного суда кассационной инстанции, было отменено определение суда первой инстанции и отказано во включении требования гражданки И.К.Молодых – индивидуального предпринимателя в реестр требований о передаче жилых помещений. При этом суды исходили, в частности, из того, что данное требование касается исполнения обязательства, возникшего после даты принятия арбитражным судом заявления о признании должника банкротом, а потому согласно пунктам 1 и 2 2 статьи 5 Федерального закона от 26 октября 2002 года № 127-ФЗ «О несостоятельности (банкротстве)» является текущим и не подлежит включению в реестр требований о передаче жилых помещений.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5 Федерального закона «О несостоятельности (банкротстве)» в целях данного Федерального закона под текущими платежами понимаются денежные обязательства, требования о выплате выходных пособий и (или) об оплате труда лиц, работающих или работавших по трудовому договору, и обязательные платежи, возникшие после даты принятия заявления о признании должника банкротом, если иное не установлено данным Федеральным законом; возникшие после возбуждения производства по делу о банкротстве требования кредиторов об оплате поставленных товаров, оказанных услуг и выполненных работ являются текущими (пункт 1); требования кредиторов по текущим платежам не подлежат включению в реестр требований кредиторов; кредиторы по текущим платежам при проведении соответствующих процедур, 3 применяемых в деле о банкротстве, не признаются лицами, участвующими в деле о банкротстве (пункт 2). Данные законоположения, рассматриваемые во взаимосвязи с иными нормами того же Федерального закона, в том числе устанавливающими порядок предъявления требований к должнику и очередность удовлетворения требований кредиторов, а также нормами его статей 2016 и 2017, определяющими особенности предъявления требований о передаче жилых помещений и их рассмотрения арбитражным судом и правила ведения реестра требований о передаче жилых помещений, не препятствуют реализации участниками строительства, имеющими к застройщику требование о передаче жилого помещения или денежное требование, своих прав, предоставленных Федеральным законом «О несостоятельности (банкротстве)», и не могут рассматриваться как нарушающие конституционные права заявительницы, указанные в жалобе. Проверка же правильности оценки судами фактических обстоятельств конкретного дела, в частности об отнесении требований заявительницы к категории текущих, к полномочиям Конституционного Суда Российской Федерации, как они определены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Молодых Ирины Константиновны,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