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211664-П/2015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Козореза Сергея Николаевича на нарушение его конституционных прав положениями части третьей статьи 7, статей 75, 89, 156 и 38916 Уголовно-процессуального кодекса Российской Федерации, статей 6 и 7 Федерального закона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С.Н.Козореза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утверждениям заявителя, Уголовно-процессуальным кодексом Российской Федерации прямо установлено, что предварительное расследование начинается с момента возбуждения уголовного дела, о чем следователь, дознаватель, орган дознания выносит соответствующее постановление (часть первая статьи 156); поводами для возбуждения уголовного дела служат заявление о преступлении, явка с повинной, сообщение о совершенном или готовящемся преступлении, полученное из иных источников, а также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 (часть первая статьи 140). Положения же оспариваемых в жалобе статей 75, 89 и 38916 УПК Российской Федерации не регулируют порядок возбуждения уголовного дела и проведения следственных действий. В соответствии с Федеральным законом «Об оперативно-розыскной деятельности» одним из оснований для проведения оперативно-розыскных мероприятий являются ставшие известными органам, осуществляющим 3 оперативно-розыскную деятельность, сведения о признаках подготавливаемого, совершаемого или совершенного противоправного деяния, а также о лицах, его подготавливающих, совершающих или совершивших, если нет достаточных данных для решения вопроса о возбуждении уголовного дела (подпункт 1 пункта 2 части первой статьи 7); проверочная закупка или контролируемая поставка предметов, веществ и продукции, свободная реализация которых запрещена либо оборот которых ограничен, а также оперативный эксперимент или оперативное внедрение должностных лиц органов, осуществляющих оперативно-розыскную деятельность, а равно лиц, оказывающих им содействие, проводятся на основании постановления, утвержденного руководителем органа, осуществляющего оперативно-розыскную деятельность (часть седьмая статьи 8). Таким образом, оспариваемые законоположения не могут расцениваться как нарушающие права заявителя в указанном им аспекте. Как следует из жалобы, заявитель связывает нарушение своих прав не с содержанием оспариваемых им норм, а с имеющимся, по его мнению, нарушением их предписаний в его конкретном деле и прямо предлагает Конституционному Суду Российской Федерации дать оценку законности и обоснованности вынесенных по его делу правоприменительных решений, что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Козореза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