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226769-П/2016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Старикова Александра Петровича на нарушение его конституционных прав пунктами 1 и 2 статьи 5, статьями 2016 и 2017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А.П.Старикова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арбитражного суда кассационной инстанции, было отменено определение суда первой инстанции и отказано во включении требования гражданина А.П.Старикова – индивидуального предпринимателя в реестр требований о передаче жилых помещений. При этом суды исходили, в частности, из того, что данное требование касалось исполнения обязательства, возникшего после даты принятия арбитражным судом заявления о признании должника банкротом, а потому согласно пунктам 1 и 2 2 статьи 5 Федерального закона от 26 октября 2002 года № 127-ФЗ «О несостоятельности (банкротстве)» является текущим и не подлежит включению в реестр требований о передаче жилых помещений.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5 Федерального закона «О несостоятельности (банкротстве)» в целях данного Федерального закона под текущими платежами понимаются денежные обязательства, требования о выплате выходных пособий и (или) об оплате труда лиц, работающих или работавших по трудовому договору, и обязательные платежи, возникшие после даты принятия заявления о признании должника банкротом, если иное не установлено данным Федеральным законом; 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 (пункт 1); требования кредиторов по текущим платежам не подлежат включению в реестр требований кредиторов; кредиторы по текущим платежам при проведении соответствующих процедур, 3 применяемых в деле о банкротстве, не признаются лицами, участвующими в деле о банкротстве (пункт 2). Данные законоположения, рассматриваемые во взаимосвязи с иными нормами того же Федерального закона, в том числе устанавливающими порядок предъявления требований к должнику и очередность удовлетворения требований кредиторов, а также нормами статей 2016 и 2017, определяющими особенности предъявления требований о передаче жилых помещений и их рассмотрения арбитражным судом и правила ведения реестра требований о передаче жилых помещений, не препятствуют реализации участниками строительства, имеющими к застройщику требование о передаче жилого помещения или денежное требование, своих прав, предоставленных Федеральным законом «О несостоятельности (банкротстве)», и не могут рассматриваться как нарушающие конституционные права заявителя, указанные в жалобе. Проверка же правильности оценки судами фактических обстоятельств конкретного дела, в частности об отнесении требований заявителя к категории текущих, к полномочиям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гражданина Старикова Александра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