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700-П/2015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Всероссийской творческой общественной организации «Союз художников России» на нарушение конституционных прав и свобод положением подпункта 2 пункта 3 статьи 378.2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ВТОО «Союз художников России»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заявителем законоположение устанавливает необходимые критерии, позволяющие отнести то или иное недвижимое имущество к объекту налогообложения налогом на имущество организаций, в отношении которого налоговая база подлежит исчислению с учетом такого показателя, как кадастровая стоимость. В качестве одного 3 из основных критериев отнесения недвижимого имущества к таким объектам налогообложения выступает предназначение имущества или его фактическое использование в деловых, административных или коммерческих целях. Данное регулирование является нормативной основой как для исполнения субъектами Российской Федерации полномочия по формированию указанного перечня объектов недвижимого имущества, так и для надлежащего исполнения налогоплательщиками конституционной обязанности по уплате налога. Таким образом, оспариваемое заявителем законоположение, принятое законодателем в рамках предоставленной ему дискреции в налоговой сфере, само по себе не может расцениваться как нарушающее его конституционные права. Проверка же законности и обоснованности судебных решений по делу заявителя, в том числе в части оценки характеристик спорных объектов недвижимости,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Всероссийской творческой общественной организации «Союз художников России»,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