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42976-П/2010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«Волгоградэлектротранс» на нарушение конституционных прав и свобод пунктом 1 статьи 181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МУП «Волгоградэлектротранс»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МУП «Волгоградэлектротранс» было отказано в иске к администрации города Волгограда, в том числе в связи с истечением срока исковой давности, о признании недействительной в силу ничтожности сделки по прекращению права хозяйственного ведения на имущество, оформленной постановлением администрации города Волгограда от 12 мая 2004 года № 594.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МУП «Волгоградэлектротранс» материалы, не находит оснований для принятия данной жалобы к рассмотрению. Конституционный Суд Российской Федерации неоднократно обращался к вопросу о сроках реализации права на судебную защиту, гарантированного статьей 46 Конституции Российской Федерации. Основываясь на правовых позициях, сформулированных им в постановлениях от 16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«Волгоградэлектротранс», поскольку она не 4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