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202132-П/2015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Семеновой Екатерины Николаевны на нарушение ее конституционных прав и конституционных прав ее несовершеннолетней дочери подпунктом 1 пункта 1 статьи 8 Гражданского кодекса Российской Федерации, а также рядом норм Гражданского процессуального кодекса Российской Федерации и Жилищного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Е.Н.Семеновой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Е.Н.Семеновой в обоснование своей позиции, свидетельствуют о том, что нарушение своих конституционных прав и конституционных прав несовершеннолетней дочери она связывает не с содержанием оспариваемых положений, а с принятыми постановлениями судов общей юрисдикции, с которыми она фактически выражает несогласие. Между тем проверка законности и обоснованности судебных постановлений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Семеновой Екатерины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