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201704-П/2015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Лиманского Евгения Николаевича на нарушение его конституционных прав частью первой статьи 144, частями первой и второй статьи 145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Е.Н.Лиманского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Е.Н.Лиманский 16 января 2013 года обратился в полицию с заявлением о привлечении неизвестного лица к административной ответственности за распространение нацистской символики в сети «Интернет», т.е. за административное правонарушение, предусмотренное статьей 20.3 КоАП Российской Федерации. 27 июля 2013 года постановлением начальника одела участковых уполномоченных полиции по 2 данному заявлению отказано в возбуждении уголовного дела с указанием на то, что в действиях неустановленных лиц признаки уголовно или административно наказуемого деяния отсутствуют. Районный суд, куда Е.Н.Лиманский обжаловал в порядке главы 25 ГПК Российской Федерации бездействие сотрудников полиции, не усмотрел нарушений его прав в таком рассмотрении его заявления (решение от 21 марта 2014 года), с чем согласился суд апелляционной инстанции (апелляционное определение от 9 июля 2014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28.1 КоАП Российской Федерации сообщения и заявления физических лиц, содержащие данные, указывающие на наличие события административного правонарушения, являются поводами к возбуждению дела об административном правонарушении (пункт 3 части 1), при наличии которых должностным лицом, уполномоченным составлять протоколы об административных правонарушениях, может быть возбуждено дело об административном правонарушении, если имеются достаточные 3 данные, указывающие на наличие события административного правонарушения (части 2 и 3); в случае отказа в возбуждении дела об административном правонарушении при наличии материалов, сообщений, заявлений, указанных в пунктах 2 и 3 части 1 этой статьи, должностным лицом, рассмотревшим указанные материалы, сообщения, заявления, выносится мотивированное определение об отказе в возбуждении дела об административном правонарушении (часть 5). Оспариваемые заявителем положения статей 144 и 145 УПК Российской Федерации, определяющие порядок рассмотрения сообщения о преступлении и решения, принимаемые по результатам рассмотрения такого сообщения, не регулируют производство по делам об административных правонарушениях, а потому не могут расцениваться как нарушающие его права в указанном им аспекте. Проверка же правильности выбора норм права, подлежащих применению при разрешении заявления Е.Н.Лиманского, в полномочия Конституционного Суда Российской Федерации, как они закреплены статьей 125 Конституции Российской Федерации и статьей 3 Федерального конституционного закона «О Конституционном Суде Российской Федерации», не входит.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Лиманского Евгения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4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