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48498-П/1999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Николая Владимировича на нарушение его конституционных прав постановлением Президиума Верховного Суда Российской Федерации «О порядке применения Федерального закона «О внесении изменения и дополнения в статью 3 Закона Российской Федерации «О статусе судей в Российской Федерации» от 17 июля 1999 года № 169-ФЗ»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Н.В.Григорьева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настоящее время поставленный заявителем вопрос урегулирован в статье 3 Закона Российской Федерации «О статусе судей в Российской Федерации»: судья, пребывающий в отставке, не вправе заниматься адвокатской деятельностью. Оспариваемое же постановление Президиума Верховного Суда Российской Федерации от 12 апреля 2000 года не действует – оно утратило силу на основании постановления Президиума Верховного Суда Российской Федерации от 26 марта 2008 года «О порядке применения пункта 4 статьи 3 Закона Российской Федерации «О статусе судей в Российской Федерации». Таким образом, правовое регулирование статуса судьи в указанном заявителем аспекте не может рассматриваться в данный момент как неопределенное и нарушающее в силу этого его конституционные права. Проверка же законности и обоснованности правоприменительных решений, вынесенных по делу заявителя, как требующая исследования фактических обстоятельств его дела,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Николая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