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Сазоновой Нины Николаевны на нарушение ее конституционных прав пунктом 3 части второй статьи 302 и пунктом 1 части первой статьи 38920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Н.Н.Сазоновой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25 сентября 2013 года исковые требования гражданки Н.Н.Сазоновой были частично удовлетворены: распространенные в устной форме гражданином С. третьему лицу сведения о совершении дорожно-транспортного происшествия с участием принадлежащего ей автомобиля были признаны не соответствующими действительности и с гражданина С. были взысканы денежные средства в счет возмещения морального вреда. 2 Приговором мирового судьи от 3 июня 2015 года гражданин С. был оправдан по предъявленному Н.Н.Сазоновой частному обвинению в совершении преступления, ответственность за которое установлена в части первой статьи 1281 «Клевета» УК Российской Федерации, поскольку версия подсудимого о том, что он добросовестно заблуждался в ложности сообщаемых им сведений, не была опровергнута в ходе судебного разбирательства. Постановлением от 22 июля 2015 года, вынесенным в апелляционном порядке по жалобе заявительницы, указанный приговор был оставлен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Сазоновой Нины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