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226619-П/2016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гаражно- строительного кооператива «Меч» на нарушение конституционных прав и свобод частями третьей и пятой статьи 125, пунктами 6 и 7 части третьей статьи 38928, частями первой и второй статьи 4018 и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ГСК «Меч»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Оставленными без изменений решениями судов, принятыми в порядке статьи 125 УПК Российской Федерации, гаражно-строительному кооперативу «Меч» неоднократно отказывалось в принятии жалоб на бездействие следователя по заявлениям о преступлениях.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Положения частей третьей и пятой статьи 125, пунктов 6 и 7 части третьей статьи 38928, частей первой и второй статьи 4018 и пункта 5 статьи 40110 УПК Российской Федерации, устанавливающие, соответственно, порядок принятия решений по результатам рассмотрения жалобы на действия (бездействие) и решения,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правосудию; требования, предъявляемые к содержанию апелляционного определения, постановления; виды решений, выносимых по результатам изучения кассационных жалобы, представления, а также требования, которым должно соответствовать постановление судьи об отказе в передаче кассационных жалобы, представления для рассмотрения в судебном заседании суда кассационной инстанции, действуя во взаимосвязи с частью четвертой статьи 7 этого Кодекса, закрепляющей в качестве принципа уголовного судопроизводства общее требование законности, обоснованности и мотивированности процессуальных решений, прямо предусматривают, что в перечисленных судебных решениях должны быть изложены доводы лица, подавшего жалобу, и мотивы принимаемого по жалобе судебного решения. Положения данных статей не допускают отказ судов от рассмотрения и оценки всех доводов заявлений, ходатайств или жалоб участников уголовного судопроизводства, а предписывают мотивировать свои решения путем указания 3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8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гаражно- строительного кооператива «Меч»,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