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229268-П/2016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«Дефис-99» на нарушение конституционных прав и свобод статьей 949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рассмотрев вопрос о возможности принятия жалобы ООО «Дефис-99»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949 ГК Российской Федерации о неполном имущественном страховании, рассматриваемая в системе действующего правового регулирования, в частности во взаимосвязи с пунктом 2 статьи 947 того же Кодекса, в соответствии с которым страховой стоимостью для имущества считается его действительная стоимость в месте его нахождения в день заключения договора страхования, какой-либо неопределенности не содержит, направлена на обеспечение справедливого баланса интересов страхователя и страховщика и во взаимосвязи с пунктом 1 статьи 943 ГК Российской Федерации не может расцениваться как нарушающая конституционные права заявителя в указанном в жалобе аспекте. Определение же того, был ли между сторонами заключен договор неполного имущественного страхования, связано с установлением и исследованием фактических обстоятельств дела, что не входит в компетенцию Конституционного Суда Российской Федерации, как она закреплена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«Дефис-99», поскольку она не отвечает требованиям Федерального конституционного закона «О Конституционном 4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