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46831-П/2010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Галкиной Людмилы Николаевны на нарушение ее конституционных прав частью второй статьи 264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Л.Н.Галкиной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Ленинского районного суда города Перми от 5 мая 2010 года гражданин В. был признан виновным в нарушении правил дорожного движения, повлекшем по неосторожности смерть человека, т.е. в совершении преступления, предусмотренного частью второй статьи 264 УК Российской Федерации (в редакции Федерального закона от 8 декабря 2003 года № 162-ФЗ), и ему было назначено наказание в виде лишения 2 свободы сроком на два года с отбыванием в колонии-поселении, с лишением права управлять транспортным средством на срок три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Л.Н.Галкиной материалы, не находит оснований для принятия ее жалобы к рассмотрению. Конституционными требованиями справедливости и соразмерности предопределяется дифференциация публично-правовой ответственности в зависимости от тяжести содеянного, размера и характера причиненного ущерба, степени вины правонарушителя и иных существенных обстоятельств, обусловливающих индивидуализацию при применении тех или иных мер государственного принуждения (Постановление Конституционного Суда Российской Федерации от 15 июля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Галкиной Людмилы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