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23203-П/2010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Рахмангулова Ленара Рамилевича на нарушение его конституционных прав положением части первой статьи 101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В.Г.Ярославцева, рассмотрев по требованию гражданина Л.Р.Рахмангулова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Реализуя положение Конституции Российской Федерации, согласно которому заключение под стражу допускается только по судебному решению (статья 22, часть 2), законодатель установил, что только суд, в том числе в ходе досудебного производства, правомочен принимать решения об избрании меры пресечения в виде заключения под стражу; при этом постановление следователя или дознавателя о возбуждении ходатайства об избрании в качестве меры пресечения заключения под стражу рассматривается единолично судьей районного суда по месту производства предварительного расследования либо по месту задержания подозреваемого (пункт 1 части второй статьи 29, часть четвертая статьи 108 УПК Российской Федерации). Таким образом, оспариваемое положение части первой статьи 101 УПК Российской Федерации, поскольку оно не предполагает решение вопроса об избрании меры пресечения в виде заключения под стражу вне суда, не может рассматриваться как нарушающее конституционные права Л.Р.Рахмангулова.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Рахмангулова Ленара Рамилевича,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