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213194-П/2015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частью первой статьи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Федерации, гражданину В.В.Технюку, отбывающему наказание в виде лишения свободы, отказано в удовлетворении жалобы на действия руководителя следственного органа, отказавшего в принятии и регистрации заявления о возбуждении уголовного дела в отношении следователя, поскольку это заявление не содержало достаточных данных о признаках преступления.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прямо предусматривает, что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этим Кодексом, и в срок не позднее трех суток со дня поступления данного сообщения принять по нему одно из следующих решений: о возбуждении уголовного дела; об отказе в возбуждении уголовного дела; о передаче сообщения по подследственности, а по уголовным делам частного обвинения – в суд (часть первая статьи 144 и часть первая статьи 145). Следовательно, оспариваемое В.В.Технюком законоположение не может расцениваться как нарушающее его права в указанном им аспекте. Как следует из жалобы, заявитель, настаивающий на наличии в действиях следователя по его уголовному делу состава преступления, выразившегося в фальсификации оснований задержания подозреваемого, по существу, предлагает Конституционному Суду Российской Федерации дать оценку принятым по этому вопросу правоприменительным решениям, что требует установления и исследования фактических обстоятельств дела 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3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