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Подошвелева Сергея Михайловича на нарушение его конституционных прав частью первой статьи 175 Уголовно- 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С.М.Подошвелева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С.М.Подошвелевым материалы, не находит оснований для принятия его жалобы к рассмотрению. В силу признанного в правовом государстве принципа законности в уголовном праве преступность деяния, а также его наказуемость и иные уголовно-правовые последствия определяются уголовным законом (Постановление Конституционного Суда Российской Федерации от 27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Подошвелева Сергея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