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130218-П/2013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Стрекалева Романа Александровича на нарушение его конституционных прав пунктом 4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Р.А.Стрекалева,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Тимирязевского районного суда города Москвы от 17 апреля 2006 года (оставлено без изменения определением судебной коллегии по гражданским делам Московского городского суда от 24 октября 2006 года) были удовлетворены предъявленные, в частности, к гражданину Р.А.Стрекалеву исковые 2 требования прокурора Центрального административного округа города Москвы в интересах субъекта Российской Федерации – города Москвы в лице Департамента жилищной политики и жилищного фонда города Москвы о признании недействительными обмена жилыми помещениями, обменного ордера, договора передачи (приватизации), свидетельств о государственной регистрации права и договора купли-продажи, а также об истребовании квартиры. В обоснование своего решения суд указал, что спорная квартира, приобретенная по договору купли-продажи Р.А.Стрекалевым, до этого была приватизирована по подложным документам, т.е. выбыла из владения города Москвы помимо воли владельца. Впоследствии Р.А.Стрекалев обратился в тот же суд с заявлением о пересмотре решения от 17 апреля 2006 года по новым обстоятельствам, указывая в качестве такового постановление Европейского Суда по правам человека от 6 декабря 2011 года по делу «Гладышева против России», фактические обстоятельства которого, по мнению заявителя, были аналогичны обстоятельствам его дела. Тимирязевский районный суд города Москвы определением от 19 июля 2012 года, оставленным без изменения определением судебной коллегии по гражданским делам Московского городского суда от 14 августа 2012 года, сославшись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заявления Р.А.Стрекалева отказал, поскольку он в Европейский Суд по правам человека не обращался и в отношении него не рассматривался вопрос о нарушении положений Конвенции о защите прав человека и основных свобод. В передаче кассационной жалобы Р.А.Стрекалева на указанные постановления для рассмотрения судом кассационной инстанции также было отказано (определение судьи Московского городского суда от 28 сентября 3 2012 года, определение судьи Верховного Суда Российской Федерации от 26 ноября 2012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4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Следовательно, не только Конвенция о защите прав человека и основных свобод, но и решения Европейского Суда по правам человека – в той мере,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(постановления Конституционного Суда Российской Федерации от 5 февраля 2007 года Как неоднократно указывал Оспаривая конституционность пункта 4 части четвертой статьи 392 ГПК Российской Федерации, заявитель утверждает, что данное законоположение не позволило ему защитить нарушенные, по его мнению, конституционные права в процедуре пересмотра по новым обстоятельствам судебных постановлений, вступивших в законную силу. Само же нарушение конституционных прав, как следует из жалобы, заявитель фактически связывает с таким истолкованием судами в его деле статей 167 и 302 ГК Российской Федерации, которое предопределило возможность удовлетворения предъявленного к нему иска исходя лишь из того, что приобретенная им квартира была ранее приватизирована по подложным документам, что противоречит мнению Европейского Суда по правам человека, изложенному в постановлении от 6 декабря 2011 года, принятом по делу «Гладышева против России».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Стрекалева Романа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