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214374-П/2015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Прокофьева Александра Васильевича на нарушение его конституционных прав статьей 23.1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А.В.Прокофьева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Кодекс Российской Федерации об административных правонарушениях. Исходя из этого федеральный законодатель определил в данном Кодексе подведомственность дел об административных правонарушениях судьям (статьи 23.1, 28.7 и 29.5). Кроме того, Кодекс Российской Федерации об административных правонарушениях предусматривает возможность обжалования постановления об административном правонарушении, в том числе вынесенного судьей (статья 30.1). Таким образом, оспариваемое законоположение в системе действующего нормативно-правового регулирования, будучи направленным на обеспечение права гражданина на справедливое и беспристрастное рассмотрение его дела об административном правонарушении судом, а не на 3 его ограничение, не может расцениваться как нарушающее конституционные права заявителя в указанном им аспекте. Оценка же законности и обоснованности привлечения заявителя к административной ответственности, как связанная с изучением фактических обстоятельств конкретного дела, не входит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Прокофьева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