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210925-П/2015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Родина Алексея Анатольевича на нарушение его конституционных прав частями второй и пятой статьи 33, частью первой статьи 34 и частью второй статьи 35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А.А.Родина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А.А.Родин вопреки требованию пункта 8 части второй статьи 37 Федерального конституционного закона «О Конституционном Суде Российской Федерации» не приводит правового обоснования неконституционности частей второй и пятой статьи 33, части первой статьи 34 и части второй статьи 35 УК Российской Федерации, лишь утверждая, что его права были нарушены судебным решением, вынесенным по его конкретному делу на основании постановления Пленума Верховного Суда Российской Федерации от 27 декабря 2002 года № 29 «О судебной практике по делам о краже, грабеже и разбое», которое не подлежит обжалованию ввиду отсутствия нормы закона, позволяющей оспаривать постановления Пленума Верховного Суда Российской Федерации. Тем самым, по сути, заявитель выражает несогласие с указанным постановлением, а также предлагает Конституционному Суду Российской Федерации оценить правильность применения оспариваемых норм при вынесении конкретного судебного решения по его делу. Однако разрешение этих вопросов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Таким образом, данная жалоба, как не отвечающая критерию допустимости, закрепленному Федеральным конституционным законом «О 3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Родина Алексея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