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228927-П/2016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Сергея Валентиновича на нарушение его конституционных прав пунктом 1 части третьей статьи 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гражданина С.В.Васильева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окружного военного суда, оставленным без изменения судом апелляционной инстанции, гражданин С.В.Васильев был признан виновным в совершении преступлений, ответственность за которые установлена пунктами «а», «в», «г», «ж» части второй статьи 126, а также частью третьей статьи 30 и пунктами «ж», «к» части второй статьи 105 УК Российской Федерации. 2 Полагая, что уголовное дело в его отношении исходя из содержащихся в статье 31 УПК Российской Федерации предписаний было подсудно не окружному военному суду, а гарнизонному, С.В.Васильев и его защитник подали надзорные жалобы об оспаривании решений судов первой и второй инстанций в Верховный Суд Российской Федерации, однако постановлением судьи этого суда от 14 сентября 2015 года было отказано в их передаче для рассмотрения в судебном заседании суда надзорной инстанции. При этом с указанным постановлением согласился заместитель Председателя Верховного Суда Российской Федерации (решение от 27 ноября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 (статья 47, часть 1). Применительно к уголовным делам таким законом является Уголовно- процессуальный кодекс Российской Федерации, статьями 31–35 которого установлены правила определения подсудности дел и основания ее изменения, а также предусмотрена соответствующая процедура. Так, в соответствии со статьей 31 УПК Российской Федерации окружному (флотскому) военному суду подсудны, кроме прочих, уголовные дела, указанные в части третьей этой статьи, в отношении военнослужащих и граждан, проходящих военные сборы (часть шестая). 3 Согласно же части третьей указанной статьи верховному суду республики и иным равным ему по уровню судам подсудны в том числе уголовные дела о преступлениях, предусмотренных частью второй статьи 105 УК Российской Федерации, за исключением уголовных дел, по которым в соответствии с положениями данного Кодекса в качестве наиболее строгого вида наказания не могут быть назначены пожизненное лишение свободы или смертная казнь, а также уголовные дела о преступлениях, предусмотренных частью третьей статьи 126 и рядом других положений Уголовного кодекса Российской Федерации (пункт 1). Таким образом, оспариваемая заявителем норма не содержит неопределенности в вопросе о подсудности уголовных дел и о полномочиях того или иного суда рассматривать конкретное уголовное дело, не допускает ее произвольного истолкования и, следовательно, произвольного применения в судебной практике (Определение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Сергея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