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209716-П/2015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сентября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Светлова Кирилла Валентиновича на нарушение его конституционных прав положением части 3 статьи 25.1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К.В.Светлова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Часть 3 статьи 25.1 КоАП Российской Федерации, устанавливая обязательное присутствие при рассмотрении дела об административном правонарушении лица, в отношении которого ведется производство по 3 делу об административном правонарушении, влекущем административный арест, административное выдворение за пределы Российской Федерации иностранного гражданина либо лица без гражданства или обязательные работы, создает для указанного лица дополнительную гарантию полноценной реализации права на защиту при привлечении к ответственности за такие административные правонарушения, за которые предусмотрена возможность применения к нарушителю наиболее ограничительных по своему характеру мер административной ответственности (Определение Конституционного Суда Российской Федерации от 21 мая 2015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Светлова Кирилла Валентиновича,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