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Харитонова Олега Николаевича на нарушение его конституционных прав статьями 361, 381 и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О.Н.Харитонова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Воронежского областного суда от 16 февраля 2006 года, оставленным без изменения Судебной коллегией по гражданским делам Верховного Суда Российской Федерации, гражданину О.Н. Харитонову было отказано в удовлетворении заявления о признании недействительным решения квалификационной коллегии судей Воронежской области от 5 октября 2005 года о досрочном прекращении его полномочий в должности судьи Арбитражного суда Воронежской области и лишении 2 квалификационного класса в связи с совершением дисциплинарного проступка. Определением судьи Верховного Суда Российской Федерации от 22 марта 2007 года О.Н.Харитонову отказано в истребовании дела. Заместитель Председателя Верховного Суда Российской Федерации согласился с таким решением, указав, что Определение Конституционного Суда Российской Федерации от 2 февраля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3 Статьи 361, 381 и 387 ГПК Российской Федерации, в том числе с учетом правовых позиций Конституционного Суда Российской Федерации, содержащихся в его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Харитонова Олега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