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233699-П/2016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апреля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Молодых Андрея Николаевича на нарушение его конституционных прав рядом положений Уголовного кодекса Российской Федерации и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А.Н.Молодых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приговору, оставленному без изменений судами второй и надзорной инстанций, гражданин А.Н.Молодых был осужден за совершение преступлений, при этом с учетом прежних – не снятых и не погашенных – судимостей в его действиях усмотрен опасный рецидив преступлений. В удовлетворении его ходатайства о приведении приговора в соответствие с изменениями, внесенными в уголовное законодательство, было отказано судебным постановлением, оснований для изменения или отмены которого 2 суды вышестоящих инстанций также не усмотрели. Довод заявителя о необходимости учета погашения его судимостей по предыдущим приговорам был отклонен на том основании, что наличие либо отсутствие судимости учитывается на момент совершения преступления, погашение же прежней судимости во время отбывания наказания не имеет юридического значения.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Молодых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