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24299-П/2010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«Самотлор-НН» на нарушение его конституционных прав и свобод статьей 16.3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вопрос о возможности принятия жалобы ООО «Самотлор- НН»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«Самотлор-НН» материалы, не находит оснований для принятия его жалобы к рассмотрению. 3 Статья 16.3 КоАП Российской Федерации не устанавливает перечня запретов и ограничений, за несоблюдение которых предусмотрена административная ответственность, т.е. она имеет отсылочный характер. Ограничения импорта и экспорта таких специфических товаров, как шифровальные средства, установлены официально опубликованным постановлением Правительства Российской Федерации от 6 ноября 1992 года № 854 «О лицензировании и квотировании экспорта и импорта товаров (работ, услуг) на территории Российской Федерации». Бланкетный характер оспариваемой нормы Кодекса Российской Федерации об административных правонарушениях и отсутствие в ней перечня шифровальных средств, за незаконный ввоз или вывоз которых предусмотрена административная ответственность, не может рассматриваться как нарушение конституционных прав заявителя. Проверка же законности и обоснованности правоприменительных решений по делу заявителя, равно как и оценка фактических обстоятельств в части квалификации ввезенного товара как шифровального средства,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ответственности «Самотлор-НН»,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