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33882-П/2002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Кухаркиной Лидии Николаевны на нарушение ее конституционных прав и свобод положениями статей 131, 223 и 551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М.В.Витрука,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Л.Н.Кухаркиной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Л.IН.Кухаркина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оспариваемым заявительницей нормам Гражданского кодекса Российской Федерации право собственности и другие вещные права на недвижимые вещи, ограничение этих прав, их возникновение, переход и прекращение подлежат государственной регистрации в едином государственном реестре учреждениями юстиции (пункт 1 статьи 131);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 (пункт 2 статьи 223);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 (пункт 2 статьи 551). Кроме того, согласно Федеральному закону от 21 июля 1997 года "О государственной регистрации прав на недвижимое имущество и сделок с ним" (в редакции от 12 апреля 2001 года) государственная регистрация прав на недвижимое имущество и сделок с ним - это юридический акт признания и подтверждения государством возникновения, ограничения (обременения), перехода или прекращения прав на недвижимое имущество в соответствии с Гражданским кодексом Российской Федерации; государственная регистрация является единственным доказательством существования зарегистрированного права; зарегистрированное право на недвижимое имущество может быть оспорено только в судебном порядке; 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в суд, арбитражный суд (статья 2). Как указал Конституционный Суд Российской Федерации в ряде своих решений, государственная регистрация создает гарантии надлежащего выполнения сторонами обязательств и следовательно, способствует упрочению и стабильности гражданского оборота в целом. Она не ограничивает свободу договоров, юридическое равенство сторон, автономию их воли и имущественную самостоятельность, а потому не может рассматриваться как недопустимое произвольное вмешательство государства в частные дела или ограничение прав человека и гражданина, в том числе гарантированных Конституцией Российской Федерации прав владеть, пользоваться и распоряжаться имуществом, находящимся у лица на законных основаниях, а также свободы экономической деятельности (определение от 5 июля 2001 года № 132-O по жалобе ЗАО "РЕБАУ АГ" на нарушение конституционных прав и свобод пунктом 1 статьи 165 и пунктом 2 статьи 651 ГК Российской Федерации, а также в определениях от 8 июня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Кухаркиной Лидии Николаевны,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