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220099-П/2015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пунктом 5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Вопрос, поставленный заявителем, уже рассматривался Конституционным Судом Российской Федерации по его обращению, в связи с чем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