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213213-П/2015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Ешина Вадима Витальевича на нарушение его конституционных прав частью второй статьи 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В.В.Ешина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81 УПК Российской Федерации во взаимосвязи с частью первой той же статьи устанавливает, что предметы, которые могут служить средствами для обнаружения преступления и установления обстоятельств уголовного дела, осматриваются, признаются вещественными доказательствами и приобщаются к уголовному делу, о чем выносится соответствующее постановление; порядок хранения вещественных доказательств устанавливается данной статьей и статьей 82 этого Кодекса. Приведенное законоположение неопределенности не содержит и не может расцениваться как нарушающее права заявителя. Как следует из жалобы, В.В.Ешин излагает фактические обстоятельства производства следственных действий по своему уголовному делу и утверждает, что вещество, признанное по делу вещественным доказательством, в дальнейшем положенным в основу приговора, следователем не осматривалось. Тем самым, по существу, заявитель предлагает Конституционному Суду Российской Федерации дать оценку этому доказательству и принятым по уголовному делу судебным решениям, однако проверка законности и обоснованности правоприменительных решений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3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Ешина Вадима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