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210579-П/2015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Ермаковой Светланы Валерьевны на нарушение ее конституционных прав статьей 203 Федерального закона «О несостоятельности (банкротстве)» и статьей 66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С.В.Ермаковой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оставленным без изменения постановлением суда апелляционной инстанции, было удовлетворено ходатайство конкурсного управляющего ООО «Вектор» об истребовании у граждан С.В.Ермаковой и К. документов по финансово-хозяйственной деятельности ООО «Авеста-Про», которое ранее было присоединено к обществу-должнику. При этом суды руководствовались, в частности, положением пункта 1 статьи 203 Федерального закона от 26 октября 2002 2 года № 127-ФЗ «О несостоятельности (банкротстве)», предусматривающим, что арбитражный управляющий в деле о банкротстве имеет право запрашивать необходимые сведения о должнике, о лицах, входящих в состав органов управления должника, о контролирующих лицах, о принадлежащем им имуществе (в том числе имущественных правах), о контрагентах и об обязательствах должника у физических лиц, юридических лиц, государственных органов, органов управления государственными внебюджетными фондами Российской Федерации и органов местного самоуправления, а также отдельными положениями статьи 66 АПК Российской Федерации об истребовании доказательств.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Ермаковой Светланы Валерьевны,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