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51382-П/2010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Вячеслава Витальевича на нарушение его конституционных прав частью 11 статьи 155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В.В.Борисова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части 11 статьи 155 Жилищного кодекса Российской Федерации в их системном единстве с положениями раздела VI Правил предоставления коммунальных услуг гражданам (утверждены постановлением Правительства Российской Федерации от 23 мая 2006 года № 307 «О порядке предоставления коммунальных услуг гражданам») не могут рассматриваться как нарушающие или ограничивающие его конституционные права, перечисленные в жалобе, поскольку предусматривают возможность перерасчета платы за отдельные виды коммунальных услуг, рассчитываемой исходя из нормативов потребления, за период отсутствия граждан и применяются только в том случае, если в жилом помещении не установлены индивидуальные приборы учета по холодному и горячему водоснабжению. Проверка же того, является ли отсутствие граждан временным, закончилось ли оно и обращались ли они – при отсутствии квартирных и индивидуальных приборов учета – за перерасчетом размера платы за отдельные виды коммунальных услуг, к компетенции Конституционного Суда Российской Федерации, как она определена в статье 125 Конституции 3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Вячеслава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