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26034-П/2010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марта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Хорошенко Андрея Анатольевича на нарушение его конституционных прав пунктом 2 части второй и пунктом 3 части четвертой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В.Г.Стрекозова, В.Г.Ярославцева, рассмотрев по требованию гражданина А.А.Хорошенко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А.А.Хорошенко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А.А.Хорошенко материалы, не находит оснований для принятия его жалобы к рассмотрению. Вопрос о конституционности уголовно-процессуальных норм, определяющих круг новых и вновь открывшихся обстоятельств, являющихся основаниями для возобновления производства по уголовному делу, уже был предметом рассмотрения Конституционного Суда Российской Федерации, который неоднократно указывал на недопустимость такого ограничения круга оснований, которое приводило бы к невозможности учета выявившихся после вступления приговора в законную силу новых фактических обстоятельств, свидетельствующих о совершении подсудимым иного преступления, или исключало бы при исчерпании возможностей надзорного производства устранение фундаментальных нарушений, повлекших постановление незаконного, необоснованного или несправедливого судебного решения, и восстановление нарушенных им прав и законных интересов (постановления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Хорошенко Андрея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