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75082-П/2011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Александра Анатольевича на нарушение его конституционных прав частью 1 статьи 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гражданина А.А.Мельникова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А.А.Мельниковым материалы, не находит оснований для принятия его жалобы к рассмотрению. В соответствии с Кодексом об административных правонарушениях Российской Федерации постановление по делу об административном правонарушении объявляется немедленно по окончании рассмотрения дела (часть 1 статьи 29.11); при этом дата рассмотрения дела об административном правонарушении указывается в вынесенном по результатам его рассмотрения постановлении (пункт 2 части 1 статьи 29.10). В том же случае, когда копия постановления по делу об административном правонарушении не вручена под расписку физическому лицу, или законному представителю физического лица, или законному представителю юридического лица, в отношении которых оно вынесено, она высылается указанным лицам по почте заказным почтовым отправлением в течение трех дней со дня вынесения указанного постановления (часть 2 статьи 29.11 КоАП Российской Федерации). 3 Таким образом, датой вынесения постановления по делу об административном правонарушении является дата его принятия, указанная в самом постановлении; дата направления копии постановления по делу об административном правонарушении физическому лицу, привлекаемому к административной ответственности, не имеет отношения к исчислению срока давности привлечения к административной ответственности. Поэтому оспариваемое законоположение не может рассматриваться как нарушающее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