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Янит Людмилы Ивановны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Л.И.Янит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1 Советского района города Орла от 2 апреля 2007 года, оставленным без изменения судом апелляционной инстанции, гражданке Л.И.Янит отказано в удовлетворении искового требования к гражданину Ю.Е.Печатникову о взыскании суммы неосновательного обогащения. При этом суд со ссылкой на часть вторую статьи 61 ГПК Российской Федерации об основаниях для освобождения от 2 доказывания признал преюдициальную силу обстоятельств, установленных вступившим в законную силу решением суда по делу с участием тех же лиц.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заявительницы, перечисленные в жалобе. Как следует из содержания жалобы, заявительница, формально требуя проверки конституционности оспариваемого ею законоположения, по существу, ставит перед Конституционным Судом Российской Федерации вопрос о проверке законности и обоснованности судебных постановлений, в основу которых были положены обстоятельства, имеющие преюдициальное значение в силу названного положения. Между тем разрешение этого вопроса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 Конституционному Суду Российской Федерации неподведомственно.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Янит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