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201226-П/2015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Юрия Ивановича на нарушение его конституционных прав пунктом 3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Ю.И.Ковалева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третьей статьи 392 ГПК Российской Федерации, относящий к основаниям для пересмотра постановления суда по вновь открывшимся обстоятельствам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суда, не препятствует суду принять в качестве такого основания существенные для дела обстоятельства, которые не были и не могли быть известны заявителю (пункт 1 части третьей статьи 392 ГПК Российской Федерации). Определение же того, могли ли обстоятельства, на которые ссылается заявитель, рассматриваться как существенные для дела и служить основанием для пересмотра судебных постановлений, относится к компетенции судов общей юрисдикции и не входит в полномочия Конституционного Суда Российской Федерации, определенные в статье 125 3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