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31387-П/2002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13 июня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Чурсиной Валентины Николаевны на нарушение ее конституционных прав положением пункта 2 статьи 14 Закона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С.М.Казанцева, А.Л.Кононова, В.О.Лучина,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гражданки В.Н.Чурсиной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В.Н.Чурсина была назначена Челябинским областным Советом народных депутатов на должность судьи Центрального районного суда города Челябинска 13 апреля 1990 года сроком на десять лет и 16 апреля 1990 года утверждена председателем этого суда. Решением квалификационной коллегии судей Челябинской области от 30 мая 2000 года, вынесенным после истечения указанного срока, полномочия В.Н.Чурсиной в качестве судьи на основании представления председателя Челябинского областного суда были прекращены в связи с совершением поступка, позорящего честь и достоинство судьи и умаляющего авторитет судебной власти (подпункт 9 пункта 1 статьи 14 Закона Российской Федерации от 26 июня 1992 года "О статусе судей в Российской Федерации" в редакции от 21 июня 1995 года). Этим же решением В.Н.Чурсина лишена второго квалификационного класса и ей было отказано в удовлетворении заявления о прекращении полномочий по подпункту 4 пункта 1 статьи 14 названного Закона (в связи с истечением десятилетнего срока). Данное решение Высшая квалификационная коллегия судей Российской Федерации оставила без изменения. Решение Верховного Суда Российской Федерации, удовлетворившего жалобу В.Н.Чурсиной на решения квалификационных коллегий, постановлением Президиума Верховного Суда Российской Федерации было отменено и дело направлено на новое рассмотрение. Верховный Суд Российской Федерации при повторном рассмотрении дела по жалобе В.Н.Чурсиной отказал в удовлетворении ее требований и оставил в силе вынесенные в отношении нее решения квалификационных коллегий.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Заявительница указывает на отсутствие в названном Законе положения о сроке, в течение которого могут быть прекращены полномочия судьи, совершившего поступок, позорящий честь и достоинство судьи или умаляющий авторитет судебной власти. Тем самым она фактически ставит вопрос о внесении целесообразного, с ее точки зрения, дополнения в действующее законодательство. Между тем восполнение пробелов в правовом регулировании и уточнение тех или иных формулировок, содержащихся в законе, является прерогативой законодателя и не относится к полномочиям Конституционного Суда Российской Федерации. Неправомочен</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Чурсиной Валентины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