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23207-П/2010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января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Бездольного Владимира Павловича на нарушение его конституционных прав статьями 407 и 408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В.Г.Ярославцева, рассмотрев вопрос о возможности принятия жалобы гражданина В.П.Бездольного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Алтайского краевого суда от 11 мая 1999 года, оставленным без изменения определением Судебной коллегии по уголовным делам Верховного Суда Российской Федерации от 28 июля 1999 года, гражданин В.П.Бездольный за совершение ряда преступлений был осужден к 30 годам лишения свободы с отбыванием наказания в исправительной колонии особого режима. В.П.Бездольный обжаловал в надзорном порядке данные судебные решения на предмет их незаконности и необоснованности. Президиум 2 Верховного Суда Российской Федерации своим постановлением от 15 июня 2005 года отклонил доводы надзорной жалобы, но вместе с тем исключил из приговора указание на наличие в действиях В.П.Бездольного особо опасного рецидива преступлений и изменил вид исправительного учреждения на исправительную колонию строгого режима. Кроме того, названным постановлением из приговора были исключены – вследствие издания Федерального закона от 8 декабря 2003 года № 162-ФЗ «О внесении изменений и дополнений в Уголовный кодекс Российской Федерации» – квалификация действий осужденного по признаку неоднократности, а также назначение наказания в виде конфискации имущества.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статьи 407 и 408 УПК Российской Федерации, устанавливающие порядок рассмотрения уголовного дела судом надзорной инстанции и особенности принимаемого в этом случае решения, не регламентируют вопросы приведения приговора в соответствие с новым уголовным законом, имеющим обратную силу. Вопросы, связанные с освобождением от наказания или смягчением наказания вследствие издания уголовного закона, имеющего обратную силу, в соответствии со статьей 10 УК Российской Федерации, в стадии исполнения приговора, как следует из положений части третьей статьи 396 и пункта 13 статьи 397 УПК Российской Федерации, разрешаются судом по 3 месту отбывания осужденным наказания либо по месту применения принудительных мер медицинского характера. Соответственно, оспариваемые заявителем нормы неопределенности не содержат и сами по себе его конституционные права не нарушают. Проверка же правильности применения положений Уголовно-процессуального кодекса Российской Федерации, в том числе регулирующих процедуру рассмотрения надзорных жалоб и определяющих подсудность вопросов, связанных с приведением приговора в соответствие с новым уголовным законом, имеющим обратную силу, не относится к компетенции Конституционного Суда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Бездольного Владимира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