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32528-П/2005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января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Русанова Руслана Сергеевича на нарушение его конституционных прав частью второй статьи 191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Ю.Д.Рудкина, Н.В.Селезнева, А.Я.Сливы, В.Г.Стрекозова, О.С.Хохряковой, Б.С.Эбзеева, В.Г.Ярославцева, рассмотрев по требованию гражданина Р.С.Русанова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Р.С.Русанова оспаривается конституционность положения части второй статьи 191 УК Российской Федерации (Незаконный оборот драгоценных металлов, природных драгоценных камней или жемчуга), согласно которой совершение сделки, связанной с природными драгоценными камнями, в нарушение правил, установленных законодательством Российской Федерации, а равно незаконные хранение, перевозка или пересылка природных драгоценных камней в любом виде, состоянии, за исключением ювелирных и бытовых изделий и лома таких изделий, в случае совершения их в крупном размере, организованной группой либо группой лиц по предварительному сговору наказываются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Как следует из представленных материалов, постановлением старшего следователя по особо важным делам Генеральной прокуратуры Российской Федерации от 16 марта 2004 года гражданин Р.С.Русанов, в прошлом заместитель генерального директора коммерческого предприятия по обработке драгоценных камней ЗАО "Джем Фацет", привлечен в качестве обвиняемого в совершении преступления, предусмотренного часть второй статьи 191 УК Российской Федерации, в связи с тем, что в 1998 году создал и возглавил организованную группу лиц для проведения сделок с природными алмазами и бриллиантами в нарушение правил, установленных законодательством Российской Федерации; он обвиняется также в совершении лжепредпринимательства и уклонении от уплаты налогов с организаций. В постановлении указывается, что обвиняемым совершены незаконные сделки по реализации алмазного сырья в количестве 153342,85 карат стоимостью 13480252,77 долларов США, что по курсу Центрального банка Российской Федерации на дату экспорта последней партии бриллиантов за рубеж (29 июня 2001 года) составило 392410158,13 руб. По мнению заявителя, после вступления в силу Федерального закона от 10 декабря 2003 года "О валютном регулировании и валютном контроле", в соответствии с которым драгоценные камни исключены из числа валютных ценностей, статья 191 УК Российской Федерации применению в его уголовном деле не подлежала, в связи с чем привлечение его к уголовной ответственности на ее основании привело к нарушению прав, гарантируемых статьями 35 (части 1 и 2), 45 (часть 1) и 55 (часть 3)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2 уведомлял заявителя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Русанова Руслана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