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49565-П/2010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Вандышева Сергея Николаевича на нарушение его конституционных прав подпунктом «б» пункта 1 части второй и частью четвертой статьи 82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С.Н.Вандышева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С.Н.Вандышевым материалы, не находит оснований для принятия его жалобы к рассмотрению. Статья 82 УПК Российской Федерации прямо устанавливает, что вещественные доказательства в виде предметов, которые в силу громоздкости или иных причин не могут храниться при уголовном деле, возвращаются их законному владельцу, если это возможно без ущерба для доказывания (подпункт «б» пункта 1 части второй), о чем дознаватель, следователь или судья выносит постановление (часть четвертая); при этом в случае, когда спор о праве на имущество, являющееся вещественным доказательством, подлежит разрешению в порядке гражданского судопроизводства, вещественное доказательство хранится до вступления в силу решения суда (часть первая). Оспариваемые заявителем законоположения неопределенности не содержат и сами по себе не могут рассматриваться как нарушающие его конституционные права. Установление же того, имел ли место в деле С.Н.Вандышева спор о праве на имущество, являющееся вещественным доказательством, а также разрешение вопроса о принадлежности имущества конкретным лицам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Вандышева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