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211028-П/2015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Ларягина Сергея Васильевича на нарушение его конституционных прав статьями 4125, 4127 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С.В.Ларягина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статьи 4125, 4127 и 4129 УПК Российской Федерации, регулирующие порядок производства в суде надзорной инстанции, действуют во взаимосвязи со статьей 7 того же Кодекса, устанавливающей в рамках принципа законности уголовного судопроизводства, что определения суда, постановления судьи, прокурора, следователя, дознавателя должны быть законными, обоснованными и мотивированными, и предполагают принятие по надзорной жалобе лишь таких решений, которые отвечают названным требованиям. При этом пункт 5 статьи 4127 данного Кодекса прямо обязывает судью указать в постановлении об отказе в передаче надзорных жалобы, представления для рассмотрения в судебном заседании Президиума Верховного Суда Российской Федерации мотивы, по которым им принято названное решение. Как следует из жалобы, нарушение своих прав С.В.Ларягин связывает с конкретным решением судьи, принятым по его надзорной жалобе на приговор и кассационное определение, и утверждает, что доводы этой жалобы не были рассмотрены и опровергнуты. Тем самым, по существу, заявитель предлагает Конституционному Суду Российской Федерации дать оценку не нормам закона, а правоприменительному решению, что не относится к его полномочиям,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3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Ларягина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