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37007-П/2010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Василия Васильевича на нарушение его конституционных прав пунктом 4 статьи 234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В.В.Жукова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удовлетворены исковые требования гражданина В.В.Жукова к Главному управлению Банка России по Пермской области и администрации города Перми о признании права собственности на объекты недвижимости – гаражный бокс и земельный участок под ним – в силу приобретательной давности. Cуд кассационной инстанции, придя к выводу о том, что течение срока приобретательной давности в отношении государственного имущества, к которому относятся указанные объекты, начинается после истечения общего срока исковой 2 давности по требованиям об истребовании имущества из чужого незаконного владения (но не ранее 1 июля 1990 года), и, таким образом, срок приобретательной давности для истца не истек, отказал последнему в иске.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пункта 4 статьи 234 ГК Российской Федерации, а с принятым по его конкретному делу судебным постановлением. Между тем проверка законности и обоснованности судебных постановлений, в том числе с точки зрения правильности выбора норм, подлежащих применению с учетом фактических обстоятельств дела,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Василия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