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33598-П/2001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19 апреля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открытого акционерного общества "Большевик" на нарушение конституционных прав и свобод пунктом 3 статьи 2 и пунктом 1 статьи 395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Т.Г.Морщаковой, Ю.Д.Рудкина, Н.В.Селезнева, В.Г.Стрекозова, О.С.Хохряковой, Б.С.Эбзеева, В.Г.Ярославцева, рассмотрев в пленарном заседании вопрос о соответствии жалобы ОАО "Большевик"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Арбитражный суд города Москвы своим постановлением отказал ОАО "Большевик" в иске об уплате процентов на сумму излишне взысканных налоговым органом до 1 января 1999 года налогов и сумму необоснованно взысканных штрафных санкций в связи с тем, что пункт 1 статьи 395 ГК Российской Федерации, на котором истец основывал свои требования и согласно которому за пользование чужими денежными средствами вследствие их неправомерного удержания, уклонения от их возврата, иной просрочки в их уплате либо неосновательного получения или сбережения за счет другого лица подлежат уплате проценты на сумму этих средств, в налоговых правоотношениях не применяется. Федеральный арбитражный суд Московского округа оставил данное постановление без изменения, сославшись в том числе на постановление Пленума Верховного Суда Российской Федерации и Пленума Высшего Арбитражного Суда Российской Федерации от 1 июля 1996 года "О некоторых вопросах, связанных с применением части первой Гражданского кодекса Российской Федерации", в котором указано, что в случаях, когда разрешаемый судом спор вытекает из налоговых правоотношений, гражданское законодательство может быть применено только при условии, что это предусмотрено законодательством; между тем поскольку начисление процентов за пользование чужими денежными средствами на суммы, необоснованно взысканные с юридических и физических лиц в виде экономических (финансовых) санкций налоговыми органами, законодательством не предусмотрено, при удовлетворении требований названных лиц о возврате из соответствующего бюджета этих сумм нормы, регулирующие ответственность за неисполнение денежного обязательства (статья 395 ГК Российской Федерации), применению не подлежат; в названных случаях гражданами и юридическими лицами на основании статей 15 и 16 ГК Российской Федерации могут быть предъявлены требования о возмещении убытков, вызванных в том числе необоснованным взиманием экономических (финансовых) санкций.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закрепляя в статье 53 право каждого на возмещение государством вреда, причиненного незаконными действиями соответствующих государственных (в том числе налоговых) органов или их должностных лиц, не конкретизирует при этом порядок, условия и размер возмещения причиненного вреда и не предоставляет заинтересованным лицам право выбора конкретных форм такого возмещения. Эти вопросы урегулированы другими законодательными актами, на основании которых разрешаются соответствующие споры. Так, согласно статье 1082 ГК Российской Федерации, устанавливающей способы возмещения вреда (в том числе вреда, причиненного государственными органами, а также их должностными лицами), суд в соответствии с обстоятельствами дела обязывает лицо, ответственное за причинение вреда, возместить вред в натуре или возместить причиненные убытки, под которыми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Таким образом, обязательность применения статьи 395 ГК Российской Федерации, устанавливающей ответственность за неисполнение денежного обязательства, к тем или иным видам правоотношений не вытекает ни из общих норм о возмещении убытков, ни из конституционных положений, перечисленных заявителем в обоснование своей позиции, а потому его жалоба, по смыслу статей 96 и 97 Федерального конституционного закона "О Конституционном Суде Российской Федерации", не может быть признана допустимой.</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Пункт 3 статьи 2 ГК Российской Федерации предписывает судам и иным правоприменительным органам применять гражданское законодательство к имущественным отношениям, основанным на административном или ином властном подчинении одной стороны другой в том случае, если это предусмотрено законодательством. Тем самым применение положений статьи 395 ГК Российской Федерации в конкретных спорах зависит от того, являются ли спорные имущественные правоотношения гражданско-правовыми, а нарушенное обязательство - денежным, а если не являются, то имеется ли указание законодателя о возможности их применения к этим правоотношениям. Разрешение подобных вопросов, как и распространение действия закона на те или иные правоотношения либо придание ему обратной силы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частью второй статьи 40, пунктами 1 и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ОАО "Большевик", поскольку разрешение поставленного в ней вопроса Конституционному Суду Российской Федерации неподведомственно 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 3</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