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23259-П/2010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Кузьмина Вячеслава Аркадьевича на нарушение его конституционных прав пунктом 1 части третьей и частью четвертой статьи 406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В.А.Кузьмина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Верховного Суда Российской Федерации, а также ответом заместителя Председателя Верховного Суда Российской Федерации надзорные жалобы гражданина В.А.Кузьмина на приговор были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406 УПК Российской Федерации лишь закрепляет виды решений, принимаемых судьей по результатам изучения надзорных жалобы или представления: об отказе в удовлетворении надзорных жалобы или представления (пункт 1); о возбуждении надзорного производства и передаче надзорных жалобы или представления на рассмотрение суда надзорной инстанции вместе с уголовным делом, если оно было истребовано (пункт 2). Названные законоположения не освобождают судью от обязанности проанализировать все изложенные в жалобе доводы о допущенных при рассмотрении дела в судах нижестоящих инстанций нарушениях закона и принять обоснованное решение об удовлетворении надзорной жалобы либо об отказе в этом (определения Конституционного Суда Российской Федерации от 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Кузьмина Вячеслава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