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34285-П/2010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Жукова Константина Аркадьевича на нарушение его конституционных прав статьей 42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вопрос о возможности принятия жалобы гражданина К.А.Жукова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Дальневосточного округа от 3 ноября 2009 года были отменены судебные акты по делу по иску ЗАО «Каско-Трамп» и ЗАО «Каско-Лайн» к ООО «Флот-1» и федеральному государственному учреждению «Администрация морского порта Петропавловск-Камчатский» о признании права собственности, истребовании имущества из незаконного владения, обязании зарегистрировать право собственности; дело направлено на новое рассмотрение. Гражданин К.А.Жуков, полагая, что в данном постановлении 2 содержатся заведомо ложные сведения, порочащие его честь и достоинство, оспорил его в порядке надзора в Высший Арбитражный Суд Российской Федерации как лицо, указанное в статье 42 АПК Российской Федерации. Заявление К.А.Жукова было возвращено определением Высшего Арбитражного Суда Российской Федерации от 19 ноября 2009 года со ссылкой на то, что заявителем не представлено доказательств нарушения оспариваемым судебным актом его прав и законных интересов и доказательств того, что этот акт принят о его правах и обязанностях.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К.А.Жуковым материалы, не находит оснований для принятия его жалобы к рассмотрению. Статья 42 АПК Российской Федерации, как предоставляющая лицам, не участвовавшим в деле, о правах и об обязанностях которых арбитражный суд принял судебный акт, право обжаловать этот судебный акт, а также оспорить его в порядке надзора по правилам, установленным данным Кодексом, направлена на защиту прав таких лиц и сама по себе не может быть признана нарушающей конституционные права заявителя, перечисленные в жалобе. 3 Кроме того, по своему содержанию оспариваемая статья не затрагивает право каждого на неприкосновенность частной жизни, личную и семейную тайну, защиту своей чести и доброго имени, закрепленное статьей 23 (часть 1) Конституции Российской Федерации. Решение же вопроса о том, затрагивает ли конкретный судебный акт арбитражного суда права и обязанности К.А.Жукова, и, соответственно, о правомерности возвращения Высшим Арбитражным Судом Российской Федерации его заявления об оспаривании данного судебного акта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Жукова Константина Аркадьевича,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