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28809-П/2010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Несмиянова Николая Николаевича на нарушение его конституционных прав частью первой статьи 379 и частью первой статьи 409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по требованию гражданина Н.Н.Несмиянова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 вынесенный 26 ноября 2001 года в отношении гражданина Н.Н.Несмиянова, постановлением от 31 декабря 2004 года приведен в соответствие с новым уголовным законом: из приговора исключено осуждение по пункту «а» части второй статьи 131 и пункту «а» части второй статьи 132 УК Российской Федерации. При этом суд посчитал, что оснований для смягчения осужденному наказания не имеется. Суд надзорной инстанции 2 отказал в удовлетворении жалобы Н.Н.Несмиянова на указанное постановление.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379 и часть первая статьи 409 УПК Российской Федерации прямо закрепляют основания отмены или изменения судебного решения, к которым относятся: несоответствие выводов суда, изложенных в приговоре, фактическим обстоятельствам уголовного дела, установленным судом первой или апелляционной инстанции; нарушение уголовно- процессуального закона; неправильное применение уголовного закона; несправедливость приговора. При этом определение или постановление суда первой инстанции, определение суда кассационной инстанции, определение или постановление суда надзорной инстанции подлежат отмене или изменению, если суд надзорной инстанции признает незаконность или необоснованность определения или постановления суда первой инстанции; если определение или постановление вышестоящего суда необоснованно оставляет без изменения, отменяет или изменяет предшествующие приговор, определение или постановление по уголовному делу; если определение или постановление вынесено с нарушением требований Уголовно-процессуального кодекса Российской Федерации, которое повлияло или могло повлиять на правильность вынесенного судом определения или постановления (часть вторая статьи 409 УПК Российской Федерации). 3 Таким образом, оспариваемые Н.Н.Несмияновым нормы не содержат неопределенности, не позволяют произвольно решать вопрос об отмене или изменении судебного решения по усмотрению суда и не дают оснований для вывода о нарушении ими прав заявителя. В связи с этим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Несмиянова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