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Владимира Николаевича на нарушение его конституционных прав частью 2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В.Н.Медведева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В.Н.Медведевым материалы, не находит оснований для принятия его жалобы к рассмотрению.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государства. Федеральный законодатель вправе осуществлять соответствующее правовое регулирование, обеспечивающее соблюдение правопорядка, в том числе предусматривать административную ответственность за противоправные деяния, с учетом того, что в силу статьи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Оспариваемое законоположение не устанавливает обязанность свидетельствовать против своих близких родственников, а всего лишь налагает запрет для водителя, который управлял или должен был управлять транспортным средством, на передачу управления транспортным средством лицу, находящемуся в состоянии опьянения. Проверка же законности и обоснованности решений судов общей юрисдикции, как связанная с исследованием фактических обстоятельств дела, Конституционному Суду Российской Федерации неподведомственна 3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