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Фарафонтовой Виолетты Станиславовны на нарушение ее конституционных прав положениями статей 27.8 и 28.2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гражданки В.С.Фарафонтовой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В.С.Фарафонтовой материалы, не находит оснований для принятия ее жалобы к рассмотрению. Как следует из жалобы, заявительница, оспаривая конституционность статей 27.8 и 28.2 КоАП Российской Федерации, связывает нарушение своих конституционных прав с ошибочным, по ее мнению, применением данных законоположений. Тем самым В.С.Фарафонтова выражает несогласие с правоприменительными решениями, принятыми по ее делу. Между тем проверка законности и обоснованности судебных и иных правоприменительных решений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Фарафонтовой Виолетты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