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206377-П/2015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Савиловой Валентины Ивановны на нарушение ее конституционных прав частями первой и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В.И.Савиловой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ее содержания, нарушение своих конституционных прав положениями статьи 376 ГПК Российской Федерации заявительница усматривает в том, что Верховный Суд Российской Федерации неправомерно рассмотрел в кассационном порядке дело с ее участием. Такая неправомерность, по ее мнению, заключалась в том, что кассационная жалоба участвующего в деле лица была подана за пределами установленного законом процессуального срока, а также в том, что ранее определением судьи Верховного Суда Российской Федерации, с которым не нашел оснований не согласиться заместитель Председателя Верховного Суда Российской Федерации, было отказано в передаче кассационной жалобы того же лица на то же судебное постановление для рассмотрения в судебном заседании Верховного Суда Российской Федерации. Между тем разрешение данного вопроса, как предполагающее проверку правильности исчисления судом кассационной инстанции процессуального срока, истекшего со дня вступления в законную силу оспариваемого судебного постановления, и соблюдения установленного законом порядка производства в суде кассационной инстанции, к компетенции Конституционного Суда Российской Федерации, установленной статьей 125 Конституции Российской Федерации и статьей 3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Савиловой Валентины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